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commentRangeStart w:id="0"/>
      <w:r w:rsidDel="00000000" w:rsidR="00000000" w:rsidRPr="00000000">
        <w:rPr>
          <w:sz w:val="36"/>
          <w:szCs w:val="36"/>
          <w:rtl w:val="0"/>
        </w:rPr>
        <w:t xml:space="preserve">NCCPC Champion MOU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agreement is between ____________________________________ (Organization) and the Northern California College Promise Coalition (NCCPC) for the </w:t>
      </w:r>
      <w:r w:rsidDel="00000000" w:rsidR="00000000" w:rsidRPr="00000000">
        <w:rPr>
          <w:b w:val="1"/>
          <w:rtl w:val="0"/>
        </w:rPr>
        <w:t xml:space="preserve">2025-2026 fiscal year</w:t>
      </w:r>
      <w:r w:rsidDel="00000000" w:rsidR="00000000" w:rsidRPr="00000000">
        <w:rPr>
          <w:rtl w:val="0"/>
        </w:rPr>
        <w:t xml:space="preserve">, starting on July 1 and ending June 30, 2026.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j</w:t>
      </w:r>
      <w:r w:rsidDel="00000000" w:rsidR="00000000" w:rsidRPr="00000000">
        <w:rPr>
          <w:rtl w:val="0"/>
        </w:rPr>
        <w:t xml:space="preserve">oining Organization</w:t>
      </w:r>
      <w:r w:rsidDel="00000000" w:rsidR="00000000" w:rsidRPr="00000000">
        <w:rPr>
          <w:rtl w:val="0"/>
        </w:rPr>
        <w:t xml:space="preserve"> will become a member of the coalition with </w:t>
      </w:r>
      <w:r w:rsidDel="00000000" w:rsidR="00000000" w:rsidRPr="00000000">
        <w:rPr>
          <w:rtl w:val="0"/>
        </w:rPr>
        <w:t xml:space="preserve">the following opportunities and responsibilities.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Benefits and Opportunities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Membership as a Champion member affords the Organization:</w:t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The ability to </w:t>
      </w:r>
      <w:r w:rsidDel="00000000" w:rsidR="00000000" w:rsidRPr="00000000">
        <w:rPr>
          <w:b w:val="1"/>
          <w:rtl w:val="0"/>
        </w:rPr>
        <w:t xml:space="preserve">shape the coalition’s policy agenda and benefit from resultant policy changes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From 2025-2028 we will pursue policies and bills that align with the issue priorities indicated in our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3-Year Policy Agenda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</w:t>
      </w:r>
      <w:r w:rsidDel="00000000" w:rsidR="00000000" w:rsidRPr="00000000">
        <w:rPr>
          <w:b w:val="1"/>
          <w:rtl w:val="0"/>
        </w:rPr>
        <w:t xml:space="preserve">partnerships benefits</w:t>
      </w:r>
      <w:r w:rsidDel="00000000" w:rsidR="00000000" w:rsidRPr="00000000">
        <w:rPr>
          <w:rtl w:val="0"/>
        </w:rPr>
        <w:t xml:space="preserve">, where possible, negotiated by the coalition.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In 2025, we have executed agreements with San José City College, and the University of California Office of the President, with more to follow; and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 landscape analysis of regional post-secondary options and their support offerings.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</w:t>
      </w:r>
      <w:r w:rsidDel="00000000" w:rsidR="00000000" w:rsidRPr="00000000">
        <w:rPr>
          <w:b w:val="1"/>
          <w:rtl w:val="0"/>
        </w:rPr>
        <w:t xml:space="preserve">exclusive NCCPC Membership Tools</w:t>
      </w:r>
      <w:r w:rsidDel="00000000" w:rsidR="00000000" w:rsidRPr="00000000">
        <w:rPr>
          <w:rtl w:val="0"/>
        </w:rPr>
        <w:t xml:space="preserve"> will include: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Asset Map 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Member Directory 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Members Only NCCPC webpage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Referrals to grant and fundraising opportunities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Professional Development or Leadership Opportunities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as openings become available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NCCPC Ambassador or Public Speaking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Steering Committee Leadership 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Committee Co-Chair Appointment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Free attendance at our community of practice efforts</w:t>
      </w:r>
      <w:r w:rsidDel="00000000" w:rsidR="00000000" w:rsidRPr="00000000">
        <w:rPr>
          <w:rtl w:val="0"/>
        </w:rPr>
        <w:t xml:space="preserve">, raising the level of performance of college access and success professionals across the region, including your own.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In 2025, we will host virtual, in-person, or hybrid events including, but not limited to: an Annual All Member Meeting and a Joint Convening of Elected Officials and Funders.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Free attendance by an unlimited number of your staff at all special events.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Access to NCCPC-managed resources, toolkits, documents and guides.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Organization’s Responsibilities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Champion member organization commits to: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Participation in at least one ad hoc or standing committee. 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Attendance to a minimum of 75% of associated meetings for committees that are joined by Organization staff. 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For example, eight (8) committee meetings will require attendance if 11 are held. Ad hoc committees may or may not hold meetings.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The three (3) standing committees are: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Communities of Practice Committee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Policy Committee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Partnerships Committee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Ad hoc committees may be formed during the course of the year, past committees include: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Evaluation Plan Ad Hoc Committee</w:t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Financial Literacy Ad Hoc Committee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Participation in at least one campaign during the fiscal year is optional.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In 2025 there are several active campaigns that NCCPC is leading which include, but are not limited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 Ban on Scholarship Displacement Act of 2021 implementation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CA CSA Coalition backbone plus CalKIDS implementation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Cradle to Career Data System implementation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Education Cities Initiative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Regional Emergency Microgrants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Agree to have your organization’s name listed as a coalition member and to share disaggregate data as necessary toward shared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This agreement shall be in effect as of the last date of signing, below.</w:t>
      </w:r>
    </w:p>
    <w:p w:rsidR="00000000" w:rsidDel="00000000" w:rsidP="00000000" w:rsidRDefault="00000000" w:rsidRPr="00000000" w14:paraId="00000038">
      <w:pPr>
        <w:rPr/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ORGANIZATION (Member)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</w:t>
        <w:tab/>
        <w:t xml:space="preserve">______________________________</w:t>
        <w:tab/>
        <w:t xml:space="preserve">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rtl w:val="0"/>
        </w:rPr>
        <w:t xml:space="preserve">PRIMARY </w:t>
      </w:r>
      <w:r w:rsidDel="00000000" w:rsidR="00000000" w:rsidRPr="00000000">
        <w:rPr>
          <w:rtl w:val="0"/>
        </w:rPr>
        <w:t xml:space="preserve">(signed)</w:t>
        <w:tab/>
        <w:tab/>
        <w:tab/>
        <w:tab/>
        <w:t xml:space="preserve">(printed name/title)</w:t>
        <w:tab/>
        <w:tab/>
        <w:tab/>
        <w:tab/>
        <w:t xml:space="preserve">(date)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____________________________</w:t>
        <w:tab/>
        <w:t xml:space="preserve">______________________________</w:t>
        <w:tab/>
        <w:t xml:space="preserve">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DELEGATE </w:t>
      </w:r>
      <w:r w:rsidDel="00000000" w:rsidR="00000000" w:rsidRPr="00000000">
        <w:rPr>
          <w:rtl w:val="0"/>
        </w:rPr>
        <w:t xml:space="preserve">(signed)</w:t>
        <w:tab/>
        <w:tab/>
        <w:tab/>
        <w:tab/>
        <w:t xml:space="preserve">(printed name/title)</w:t>
        <w:tab/>
        <w:tab/>
        <w:tab/>
        <w:tab/>
        <w:t xml:space="preserve">(date)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NCCPC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</w:t>
        <w:tab/>
        <w:t xml:space="preserve">______________________________</w:t>
        <w:tab/>
        <w:t xml:space="preserve">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(signed)</w:t>
        <w:tab/>
        <w:tab/>
        <w:tab/>
        <w:tab/>
      </w:r>
      <w:r w:rsidDel="00000000" w:rsidR="00000000" w:rsidRPr="00000000">
        <w:rPr>
          <w:rtl w:val="0"/>
        </w:rPr>
        <w:t xml:space="preserve">(printed name/title) </w:t>
        <w:tab/>
        <w:tab/>
        <w:tab/>
        <w:tab/>
        <w:t xml:space="preserve">(date)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____________________________</w:t>
        <w:tab/>
        <w:t xml:space="preserve">______________________________</w:t>
        <w:tab/>
        <w:t xml:space="preserve">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(signed)</w:t>
        <w:tab/>
        <w:tab/>
        <w:tab/>
        <w:tab/>
        <w:t xml:space="preserve">(printed name/time) </w:t>
        <w:tab/>
        <w:tab/>
        <w:tab/>
        <w:tab/>
        <w:t xml:space="preserve">(date)</w:t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 w:orient="portrait"/>
      <w:pgMar w:bottom="1080" w:top="1170" w:left="1440" w:right="1440" w:header="36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eredith Curry Nuñez" w:id="0" w:date="2025-06-26T21:03:38Z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INTERNAL: Clone this MOU template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752600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orcalpromisecoalition.org/education-cities/" TargetMode="External"/><Relationship Id="rId10" Type="http://schemas.openxmlformats.org/officeDocument/2006/relationships/hyperlink" Target="https://norcalpromisecoalition.org/cradle-to-career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norcalpromisecoalition.org/emergency-microgrants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norcalpromisecoalition.org/announcements/policy-partnership-announcement-nccpc-and-ca-csa-coalition-join-forces-to-serve-californian-students-from-cradle-to-career/" TargetMode="External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norcalpromisecoalition.org/policy/" TargetMode="External"/><Relationship Id="rId8" Type="http://schemas.openxmlformats.org/officeDocument/2006/relationships/hyperlink" Target="https://norcalpromisecoalition.org/ab-288-guides-to-prevent-scholarship-displacement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